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Legenden Visualisierungen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Visualisierung 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Das neue Gemeindehaus Oekolampad mit öffentlichem Bistrobetrieb, Ansicht vom Allschwilerplatz her.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Visualisierung: </w:t>
      </w:r>
      <w:r w:rsidDel="00000000" w:rsidR="00000000" w:rsidRPr="00000000">
        <w:rPr>
          <w:rtl w:val="0"/>
        </w:rPr>
        <w:t xml:space="preserve">Vécsey Schmidt Architekten GmbH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Visualisierung 2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Der Innenhof des Gemeindehaus Oekolampad wird zukünftig von den Institutionen AMIE Basel und Basler Wirrgarten genutzt.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Visualisierung: Vécsey Schmidt Architekten GmbH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Visualisierung 3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Blick in den Innenhof aus dem Seitenflügel des Gebäudes.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Visualisierung: Vécsey Schmidt Architekten GmbH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Visualisierung 4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Foyer des neu gestalteten Gemeindehauses Oekolampad mit Eingangsbereich zum Vorstadttheater und Aufgang in das obere Stockwerk.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Visualisierung: Vécsey Schmidt Architekten GmbH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Visualisierung 5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Blick in den ehemaligen Gemeindesaal Oekolampad entlang des neu eingebauten Theatersaals.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Visualisierung: Vécsey Schmidt Architekten GmbH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Visualisierung 6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Blick in den neuen Theatersaal im Gemeindehaus Oekolampad und in Richtung Foyer des Vorstadttheaters.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Visualisierung: Vécsey Schmidt Architekten GmbH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